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44206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126D7FA9" w14:textId="1832FDA8" w:rsidR="00EB1C5A" w:rsidRDefault="00EB1C5A" w:rsidP="004321DB">
      <w:pPr>
        <w:pStyle w:val="F2-zkladn"/>
        <w:tabs>
          <w:tab w:val="right" w:pos="9070"/>
        </w:tabs>
      </w:pPr>
      <w:r>
        <w:tab/>
      </w:r>
      <w:r w:rsidR="00CF6E62">
        <w:t>Praha, 21</w:t>
      </w:r>
      <w:r w:rsidR="001514D6">
        <w:t>. října 2020</w:t>
      </w:r>
    </w:p>
    <w:p w14:paraId="28EB8C9C" w14:textId="77777777" w:rsidR="00D04011" w:rsidRDefault="00B847D6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Analýza TPA: Aktivita na M&amp;A trhu CEE a ČR – 3Q 2020</w:t>
      </w:r>
    </w:p>
    <w:p w14:paraId="57EA8161" w14:textId="5DE14C72" w:rsidR="00945165" w:rsidRPr="00945165" w:rsidRDefault="00945165" w:rsidP="7504F584">
      <w:pPr>
        <w:pStyle w:val="F2-zkladn"/>
        <w:tabs>
          <w:tab w:val="right" w:pos="9070"/>
        </w:tabs>
        <w:rPr>
          <w:b/>
          <w:bCs/>
        </w:rPr>
      </w:pPr>
      <w:r w:rsidRPr="7504F584">
        <w:rPr>
          <w:b/>
          <w:bCs/>
        </w:rPr>
        <w:t xml:space="preserve">Na M&amp;A trhu v regionu středí a východní Evropy došlo v 3Q 2020 oproti předchozímu čtvrtletí k mírnému snížení počtu transakcí, co se celkového počtu týče, ve finančním vyjádření však naopak došlo k mírnému nárůstu. </w:t>
      </w:r>
      <w:r w:rsidR="00676584" w:rsidRPr="7504F584">
        <w:rPr>
          <w:b/>
          <w:bCs/>
        </w:rPr>
        <w:t>Transakce s přesahem do České republiky se na aktivitě</w:t>
      </w:r>
      <w:bookmarkStart w:id="0" w:name="_GoBack"/>
      <w:bookmarkEnd w:id="0"/>
      <w:r w:rsidR="00676584" w:rsidRPr="7504F584">
        <w:rPr>
          <w:b/>
          <w:bCs/>
        </w:rPr>
        <w:t xml:space="preserve"> M&amp;A trhu ve 3Q podílely minimálně. Do budoucna poradensk</w:t>
      </w:r>
      <w:r w:rsidR="000701A8">
        <w:rPr>
          <w:b/>
          <w:bCs/>
        </w:rPr>
        <w:t>á</w:t>
      </w:r>
      <w:r w:rsidR="00676584" w:rsidRPr="7504F584">
        <w:rPr>
          <w:b/>
          <w:bCs/>
        </w:rPr>
        <w:t xml:space="preserve"> společnost TPA očekává zejména zvýšenou aktivitu kupujících s dobrou likviditou</w:t>
      </w:r>
      <w:r w:rsidR="000701A8">
        <w:rPr>
          <w:b/>
          <w:bCs/>
        </w:rPr>
        <w:t>.</w:t>
      </w:r>
      <w:r w:rsidR="00676584" w:rsidRPr="7504F584">
        <w:rPr>
          <w:b/>
          <w:bCs/>
        </w:rPr>
        <w:t xml:space="preserve"> </w:t>
      </w:r>
      <w:r w:rsidR="000701A8">
        <w:rPr>
          <w:b/>
          <w:bCs/>
        </w:rPr>
        <w:t>B</w:t>
      </w:r>
      <w:r w:rsidR="00676584" w:rsidRPr="7504F584">
        <w:rPr>
          <w:b/>
          <w:bCs/>
        </w:rPr>
        <w:t xml:space="preserve">udou mít zájem o vstup do společností </w:t>
      </w:r>
      <w:r w:rsidR="000701A8">
        <w:rPr>
          <w:b/>
          <w:bCs/>
        </w:rPr>
        <w:t xml:space="preserve">se </w:t>
      </w:r>
      <w:r w:rsidR="00676584" w:rsidRPr="7504F584">
        <w:rPr>
          <w:b/>
          <w:bCs/>
        </w:rPr>
        <w:t>zajímavý</w:t>
      </w:r>
      <w:r w:rsidR="000701A8">
        <w:rPr>
          <w:b/>
          <w:bCs/>
        </w:rPr>
        <w:t>m</w:t>
      </w:r>
      <w:r w:rsidR="00676584" w:rsidRPr="7504F584">
        <w:rPr>
          <w:b/>
          <w:bCs/>
        </w:rPr>
        <w:t xml:space="preserve"> produkt</w:t>
      </w:r>
      <w:r w:rsidR="000701A8">
        <w:rPr>
          <w:b/>
          <w:bCs/>
        </w:rPr>
        <w:t>em</w:t>
      </w:r>
      <w:r w:rsidR="00676584" w:rsidRPr="7504F584">
        <w:rPr>
          <w:b/>
          <w:bCs/>
        </w:rPr>
        <w:t>, jež se dostaly do ekonomických potíží.</w:t>
      </w:r>
    </w:p>
    <w:p w14:paraId="372C1BB0" w14:textId="7C3265E1" w:rsidR="00D04011" w:rsidRDefault="488B7F65" w:rsidP="000701A8">
      <w:pPr>
        <w:pStyle w:val="F2-zkladn"/>
        <w:tabs>
          <w:tab w:val="right" w:pos="9070"/>
        </w:tabs>
        <w:rPr>
          <w:b/>
          <w:bCs/>
        </w:rPr>
      </w:pPr>
      <w:r w:rsidRPr="7504F584">
        <w:rPr>
          <w:b/>
          <w:bCs/>
        </w:rPr>
        <w:t>Na území České republiky či s jejím zapojením bylo</w:t>
      </w:r>
      <w:r w:rsidR="000701A8">
        <w:rPr>
          <w:b/>
          <w:bCs/>
        </w:rPr>
        <w:t xml:space="preserve"> ve třetím čtvrtletí</w:t>
      </w:r>
      <w:r w:rsidRPr="7504F584">
        <w:rPr>
          <w:b/>
          <w:bCs/>
        </w:rPr>
        <w:t xml:space="preserve"> zaznamenáno 12 transakcí, z nichž byla ve 3 případech zveřejněna kupní cena. </w:t>
      </w:r>
      <w:r w:rsidR="0DD5066F" w:rsidRPr="7504F584">
        <w:rPr>
          <w:b/>
          <w:bCs/>
        </w:rPr>
        <w:t>Objem těchto transakcí činil 1</w:t>
      </w:r>
      <w:r w:rsidR="000701A8">
        <w:rPr>
          <w:b/>
          <w:bCs/>
        </w:rPr>
        <w:t>,</w:t>
      </w:r>
      <w:r w:rsidR="0DD5066F" w:rsidRPr="7504F584">
        <w:rPr>
          <w:b/>
          <w:bCs/>
        </w:rPr>
        <w:t>4 mil</w:t>
      </w:r>
      <w:r w:rsidR="000701A8">
        <w:rPr>
          <w:b/>
          <w:bCs/>
        </w:rPr>
        <w:t>iardy</w:t>
      </w:r>
      <w:r w:rsidR="0DD5066F" w:rsidRPr="7504F584">
        <w:rPr>
          <w:b/>
          <w:bCs/>
        </w:rPr>
        <w:t xml:space="preserve"> </w:t>
      </w:r>
      <w:r w:rsidR="000701A8">
        <w:rPr>
          <w:b/>
          <w:bCs/>
        </w:rPr>
        <w:t>korun</w:t>
      </w:r>
      <w:r w:rsidR="0ECBFC8A" w:rsidRPr="7504F584">
        <w:rPr>
          <w:b/>
          <w:bCs/>
        </w:rPr>
        <w:t xml:space="preserve"> (54 mil. EUR)</w:t>
      </w:r>
      <w:r w:rsidR="0DD5066F" w:rsidRPr="7504F584">
        <w:rPr>
          <w:b/>
          <w:bCs/>
        </w:rPr>
        <w:t>. V rámci CEE</w:t>
      </w:r>
      <w:r w:rsidR="000701A8">
        <w:rPr>
          <w:rStyle w:val="Znakapoznpodarou"/>
          <w:b/>
          <w:bCs/>
        </w:rPr>
        <w:footnoteReference w:id="1"/>
      </w:r>
      <w:r w:rsidR="0DD5066F" w:rsidRPr="7504F584">
        <w:rPr>
          <w:b/>
          <w:bCs/>
        </w:rPr>
        <w:t xml:space="preserve"> regi</w:t>
      </w:r>
      <w:r w:rsidR="440C441D" w:rsidRPr="7504F584">
        <w:rPr>
          <w:b/>
          <w:bCs/>
        </w:rPr>
        <w:t xml:space="preserve">onu </w:t>
      </w:r>
      <w:r w:rsidR="0DD5066F" w:rsidRPr="7504F584">
        <w:rPr>
          <w:b/>
          <w:bCs/>
        </w:rPr>
        <w:t xml:space="preserve">bylo </w:t>
      </w:r>
      <w:r w:rsidR="57AB60ED" w:rsidRPr="7504F584">
        <w:rPr>
          <w:b/>
          <w:bCs/>
        </w:rPr>
        <w:t xml:space="preserve">uskutečněno 74 transakcí, kupní cena byla zveřejněna ve 27 případech. </w:t>
      </w:r>
      <w:r w:rsidR="000701A8">
        <w:rPr>
          <w:b/>
          <w:bCs/>
        </w:rPr>
        <w:t>C</w:t>
      </w:r>
      <w:r w:rsidR="315D2BDD" w:rsidRPr="7504F584">
        <w:rPr>
          <w:b/>
          <w:bCs/>
        </w:rPr>
        <w:t xml:space="preserve">elkový objem </w:t>
      </w:r>
      <w:r w:rsidR="000701A8">
        <w:rPr>
          <w:b/>
          <w:bCs/>
        </w:rPr>
        <w:t xml:space="preserve">známých </w:t>
      </w:r>
      <w:r w:rsidR="315D2BDD" w:rsidRPr="7504F584">
        <w:rPr>
          <w:b/>
          <w:bCs/>
        </w:rPr>
        <w:t>transakcí</w:t>
      </w:r>
      <w:r w:rsidR="000701A8">
        <w:rPr>
          <w:b/>
          <w:bCs/>
        </w:rPr>
        <w:t xml:space="preserve"> činil </w:t>
      </w:r>
      <w:r w:rsidR="315D2BDD" w:rsidRPr="7504F584">
        <w:rPr>
          <w:b/>
          <w:bCs/>
        </w:rPr>
        <w:t>185</w:t>
      </w:r>
      <w:r w:rsidR="000701A8">
        <w:rPr>
          <w:b/>
          <w:bCs/>
        </w:rPr>
        <w:t xml:space="preserve">,7 </w:t>
      </w:r>
      <w:r w:rsidR="315D2BDD" w:rsidRPr="7504F584">
        <w:rPr>
          <w:b/>
          <w:bCs/>
        </w:rPr>
        <w:t>mil</w:t>
      </w:r>
      <w:r w:rsidR="000701A8">
        <w:rPr>
          <w:b/>
          <w:bCs/>
        </w:rPr>
        <w:t>iardy korun</w:t>
      </w:r>
      <w:r w:rsidR="315D2BDD" w:rsidRPr="7504F584">
        <w:rPr>
          <w:b/>
          <w:bCs/>
        </w:rPr>
        <w:t xml:space="preserve"> (6 949 mil. EUR).</w:t>
      </w:r>
    </w:p>
    <w:p w14:paraId="50AAD51E" w14:textId="689DF153" w:rsidR="00784698" w:rsidRDefault="00784698" w:rsidP="7504F584">
      <w:pPr>
        <w:pStyle w:val="F2-zkladn"/>
        <w:tabs>
          <w:tab w:val="right" w:pos="9070"/>
        </w:tabs>
        <w:spacing w:before="0" w:line="240" w:lineRule="auto"/>
        <w:rPr>
          <w:b/>
          <w:bCs/>
        </w:rPr>
      </w:pPr>
    </w:p>
    <w:p w14:paraId="0F5420D4" w14:textId="172C9EFC" w:rsidR="00784698" w:rsidRDefault="76A081DA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  <w:r w:rsidRPr="7504F584">
        <w:rPr>
          <w:rFonts w:ascii="Arial" w:eastAsia="Arial" w:hAnsi="Arial" w:cs="Arial"/>
          <w:b/>
          <w:bCs/>
          <w:color w:val="323130"/>
          <w:sz w:val="20"/>
          <w:szCs w:val="20"/>
        </w:rPr>
        <w:t>Aktivita na M&amp;A trhu v ČR – 3Q 2020</w:t>
      </w:r>
    </w:p>
    <w:p w14:paraId="62D1E422" w14:textId="36908345" w:rsidR="00784698" w:rsidRDefault="76A081DA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</w:rPr>
        <w:t>V 3Q 2020 bylo na území ČR či se zapojením ČR zaznamenáno 12 transakcí, z nichž byla ve 3 případech zveřejněna kupní cena. Celkový objem provedených transakcí se známou kupní cenou činil v 3Q 2020 celkem 54 mil. EUR, tj. 1 443 mil. Kč.</w:t>
      </w:r>
    </w:p>
    <w:p w14:paraId="4010CC9B" w14:textId="7C3C6577" w:rsidR="00784698" w:rsidRDefault="76A081DA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  <w:u w:val="single"/>
        </w:rPr>
        <w:t>Porovnání s 2Q 2020: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na základě dostupných dat bylo v předchozím čtvrtletí (2Q 2020) v ČR uskutečněno 13 transakcí, u nichž byla ve 2 případech zveřejněna kupní cena. Celkový objem transakcí se známou kupní cenou v 2Q 2020 byl 157 mil. EUR, tj. 4 195 mil. Kč.</w:t>
      </w:r>
    </w:p>
    <w:p w14:paraId="1C849C5D" w14:textId="2191A45A" w:rsidR="00784698" w:rsidRDefault="76A081DA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  <w:u w:val="single"/>
        </w:rPr>
        <w:t>Meziroční srovnání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ukázalo na výrazný pokles aktivity z hlediska počtu i objemu uskutečněných transakcí – objem transakcí se známou kupní cenou v 3Q 2019 činil 106 mil. EUR tj. 2 832 mil. Kč, přičemž bylo uskutečněno 27 transakcí, z čehož byla známá hodnota u 5 z nich.</w:t>
      </w:r>
    </w:p>
    <w:p w14:paraId="0D9BC374" w14:textId="2C698A37" w:rsidR="00784698" w:rsidRDefault="471983F5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K </w:t>
      </w:r>
      <w:r w:rsidRPr="7504F584">
        <w:rPr>
          <w:rFonts w:ascii="Arial" w:eastAsia="Arial" w:hAnsi="Arial" w:cs="Arial"/>
          <w:color w:val="323130"/>
          <w:sz w:val="20"/>
          <w:szCs w:val="20"/>
          <w:u w:val="single"/>
        </w:rPr>
        <w:t>nejvýznamnějším transakcím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na českém trhu patří prodej společnosti </w:t>
      </w:r>
      <w:proofErr w:type="spellStart"/>
      <w:r w:rsidRPr="7504F584">
        <w:rPr>
          <w:rFonts w:ascii="Arial" w:eastAsia="Arial" w:hAnsi="Arial" w:cs="Arial"/>
          <w:b/>
          <w:bCs/>
          <w:color w:val="323130"/>
          <w:sz w:val="20"/>
          <w:szCs w:val="20"/>
        </w:rPr>
        <w:t>GuideVision</w:t>
      </w:r>
      <w:proofErr w:type="spellEnd"/>
      <w:r w:rsidRPr="7504F584">
        <w:rPr>
          <w:rFonts w:ascii="Arial" w:eastAsia="Arial" w:hAnsi="Arial" w:cs="Arial"/>
          <w:b/>
          <w:bCs/>
          <w:color w:val="323130"/>
          <w:sz w:val="20"/>
          <w:szCs w:val="20"/>
        </w:rPr>
        <w:t>, s.r.o.,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která se zaměřuje na zjednodušení</w:t>
      </w:r>
      <w:r w:rsidRPr="7504F584">
        <w:rPr>
          <w:rFonts w:cs="Calibri"/>
          <w:color w:val="323130"/>
        </w:rPr>
        <w:t xml:space="preserve"> 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>obchodních a IT procesů v rámci digitalizace společností. Z rukou soukromých vlastníků, kteří ve společnosti zůstali ve vedení, přešla</w:t>
      </w:r>
      <w:r w:rsidRPr="7504F584">
        <w:rPr>
          <w:rFonts w:cs="Calibri"/>
          <w:color w:val="323130"/>
        </w:rPr>
        <w:t xml:space="preserve"> 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společnost do vlastnictví indické společnosti </w:t>
      </w:r>
      <w:proofErr w:type="spellStart"/>
      <w:r w:rsidRPr="7504F584">
        <w:rPr>
          <w:rFonts w:ascii="Arial" w:eastAsia="Arial" w:hAnsi="Arial" w:cs="Arial"/>
          <w:color w:val="323130"/>
          <w:sz w:val="20"/>
          <w:szCs w:val="20"/>
        </w:rPr>
        <w:t>Infosys</w:t>
      </w:r>
      <w:proofErr w:type="spellEnd"/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Limited za 30 mil. EUR, tj. 802 mil. Kč.</w:t>
      </w:r>
    </w:p>
    <w:p w14:paraId="3261FBDA" w14:textId="635AE20E" w:rsidR="00784698" w:rsidRDefault="60171DA5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Výrazná byla také transakce, v jejímž rámci společnost Škoda </w:t>
      </w:r>
      <w:proofErr w:type="spellStart"/>
      <w:r w:rsidRPr="7504F584">
        <w:rPr>
          <w:rFonts w:ascii="Arial" w:eastAsia="Arial" w:hAnsi="Arial" w:cs="Arial"/>
          <w:color w:val="323130"/>
          <w:sz w:val="20"/>
          <w:szCs w:val="20"/>
        </w:rPr>
        <w:t>Transportation</w:t>
      </w:r>
      <w:proofErr w:type="spellEnd"/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a.s. získala od Dopravního podniku Ostrava a.s. 100% podíl na společnosti </w:t>
      </w:r>
      <w:proofErr w:type="spellStart"/>
      <w:r w:rsidRPr="7504F584">
        <w:rPr>
          <w:rFonts w:ascii="Arial" w:eastAsia="Arial" w:hAnsi="Arial" w:cs="Arial"/>
          <w:b/>
          <w:bCs/>
          <w:color w:val="323130"/>
          <w:sz w:val="20"/>
          <w:szCs w:val="20"/>
        </w:rPr>
        <w:t>Ekova</w:t>
      </w:r>
      <w:proofErr w:type="spellEnd"/>
      <w:r w:rsidRPr="7504F584">
        <w:rPr>
          <w:rFonts w:ascii="Arial" w:eastAsia="Arial" w:hAnsi="Arial" w:cs="Arial"/>
          <w:b/>
          <w:bCs/>
          <w:color w:val="323130"/>
          <w:sz w:val="20"/>
          <w:szCs w:val="20"/>
        </w:rPr>
        <w:t xml:space="preserve"> Electric a.s.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>, která</w:t>
      </w:r>
      <w:r w:rsidRPr="7504F584">
        <w:rPr>
          <w:rFonts w:cs="Calibri"/>
          <w:color w:val="323130"/>
        </w:rPr>
        <w:t xml:space="preserve"> 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se zaměřuje na údržbu, modernizaci a výrobu tramvají, trolejbusů a elektrických autobusů. Touto transakcí by Škoda </w:t>
      </w:r>
      <w:proofErr w:type="spellStart"/>
      <w:r w:rsidRPr="7504F584">
        <w:rPr>
          <w:rFonts w:ascii="Arial" w:eastAsia="Arial" w:hAnsi="Arial" w:cs="Arial"/>
          <w:color w:val="323130"/>
          <w:sz w:val="20"/>
          <w:szCs w:val="20"/>
        </w:rPr>
        <w:t>Transportation</w:t>
      </w:r>
      <w:proofErr w:type="spellEnd"/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a.s.</w:t>
      </w:r>
      <w:r w:rsidRPr="7504F584">
        <w:rPr>
          <w:rFonts w:cs="Calibri"/>
          <w:color w:val="323130"/>
        </w:rPr>
        <w:t xml:space="preserve"> 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>v Ostravě chtěla vytvořit zcela nové kompetenční centrum, jehož služby by mohli využívat i budoucí zákazníci skupiny Škoda. Hodnota transakce činí 16 mil. EUR, tj. 428 mil. Kč.</w:t>
      </w:r>
    </w:p>
    <w:p w14:paraId="281F27B4" w14:textId="5B48B437" w:rsidR="00784698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5A992573" wp14:editId="1294776C">
            <wp:extent cx="4305300" cy="25155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27" cy="252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25990" w14:textId="0F9EB8C0" w:rsidR="00784698" w:rsidRDefault="7E876205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  <w:r w:rsidRPr="7504F584">
        <w:rPr>
          <w:rFonts w:ascii="Arial" w:eastAsia="Arial" w:hAnsi="Arial" w:cs="Arial"/>
          <w:b/>
          <w:bCs/>
          <w:color w:val="323130"/>
          <w:sz w:val="20"/>
          <w:szCs w:val="20"/>
        </w:rPr>
        <w:t>Aktivita na M&amp;A trhu v regionu CEE – 3Q 2020</w:t>
      </w:r>
    </w:p>
    <w:p w14:paraId="2FD0625C" w14:textId="2D101A49" w:rsidR="00784698" w:rsidRDefault="7E876205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</w:rPr>
        <w:t>V 3Q 2020 bylo v regionu CEE zaznamenáno 74 transakcí, z nichž byla ve 27 případech zveřejněna kupní cena. Celkový objem provedených transakcí se známou kupní cenou činil v 3Q 2020 celkem 6 949 mil. EUR, tj. 185 684 mil. Kč.</w:t>
      </w:r>
    </w:p>
    <w:p w14:paraId="185089B8" w14:textId="2FBF1DD6" w:rsidR="00784698" w:rsidRDefault="7E876205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  <w:u w:val="single"/>
        </w:rPr>
        <w:t>Porovnání s 2Q 2020: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na základě dostupných dat bylo v 2Q 2020 uskutečněno 75 transakcí, u nichž byla v 16 případech zveřejněna kupní cena. Celkový objem transakcí se známou kupní cenou v 3Q 2020 byl 6 710 mil. EUR, tj. 179 298 mil. Kč. </w:t>
      </w:r>
    </w:p>
    <w:p w14:paraId="05861F26" w14:textId="4310498F" w:rsidR="00784698" w:rsidRDefault="53FFD5BA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V rámci </w:t>
      </w:r>
      <w:r w:rsidRPr="7504F584">
        <w:rPr>
          <w:rFonts w:ascii="Arial" w:eastAsia="Arial" w:hAnsi="Arial" w:cs="Arial"/>
          <w:color w:val="323130"/>
          <w:sz w:val="20"/>
          <w:szCs w:val="20"/>
          <w:u w:val="single"/>
        </w:rPr>
        <w:t>meziročního srovnání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došlo k</w:t>
      </w:r>
      <w:r w:rsidR="7E876205" w:rsidRPr="7504F584">
        <w:rPr>
          <w:rFonts w:ascii="Arial" w:eastAsia="Arial" w:hAnsi="Arial" w:cs="Arial"/>
          <w:color w:val="323130"/>
          <w:sz w:val="20"/>
          <w:szCs w:val="20"/>
        </w:rPr>
        <w:t xml:space="preserve"> pokles</w:t>
      </w:r>
      <w:r w:rsidR="2730D473" w:rsidRPr="7504F584">
        <w:rPr>
          <w:rFonts w:ascii="Arial" w:eastAsia="Arial" w:hAnsi="Arial" w:cs="Arial"/>
          <w:color w:val="323130"/>
          <w:sz w:val="20"/>
          <w:szCs w:val="20"/>
        </w:rPr>
        <w:t>u</w:t>
      </w:r>
      <w:r w:rsidR="7E876205" w:rsidRPr="7504F584">
        <w:rPr>
          <w:rFonts w:ascii="Arial" w:eastAsia="Arial" w:hAnsi="Arial" w:cs="Arial"/>
          <w:color w:val="323130"/>
          <w:sz w:val="20"/>
          <w:szCs w:val="20"/>
        </w:rPr>
        <w:t xml:space="preserve"> aktivity z hlediska počtu provedených transakci – v 3Q 2019 bylo uskutečněno 129 transakcí, z čehož byla známá hodnota u 30 z nich. Objem uskutečněných transakcí se známou kupní cenou byl však oproti 3Q 2020 výrazně nižší a činil 1 344 mil. EUR, tj. 35 913 mil. Kč. Tento kvartál byl v roce 2019 výrazně nejslabším.</w:t>
      </w:r>
    </w:p>
    <w:p w14:paraId="3B8612F1" w14:textId="160E872C" w:rsidR="009D7C46" w:rsidRDefault="5F80650A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Za </w:t>
      </w:r>
      <w:r w:rsidRPr="7504F584">
        <w:rPr>
          <w:rFonts w:ascii="Arial" w:eastAsia="Arial" w:hAnsi="Arial" w:cs="Arial"/>
          <w:color w:val="323130"/>
          <w:sz w:val="20"/>
          <w:szCs w:val="20"/>
          <w:u w:val="single"/>
        </w:rPr>
        <w:t>nejvýznamnější transakci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na území CEE v 3Q lze pokládat prodej 100% podílu na společnosti </w:t>
      </w:r>
      <w:r w:rsidRPr="7504F584">
        <w:rPr>
          <w:rFonts w:ascii="Arial" w:eastAsia="Arial" w:hAnsi="Arial" w:cs="Arial"/>
          <w:b/>
          <w:bCs/>
          <w:color w:val="323130"/>
          <w:sz w:val="20"/>
          <w:szCs w:val="20"/>
        </w:rPr>
        <w:t>PLAY Communications S.A.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 sídlící v Polsku. Tato</w:t>
      </w:r>
      <w:r w:rsidRPr="7504F584">
        <w:rPr>
          <w:rFonts w:cs="Calibri"/>
          <w:color w:val="323130"/>
        </w:rPr>
        <w:t xml:space="preserve"> 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>společnost je obchodovanou společností, která je zároveň největším poskytovatelem služeb mobilního operátora v Polsku a obsluhuje více než 15</w:t>
      </w:r>
      <w:r w:rsidRPr="7504F584">
        <w:rPr>
          <w:rFonts w:cs="Calibri"/>
          <w:color w:val="323130"/>
        </w:rPr>
        <w:t xml:space="preserve"> 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>milionů zákazníků. S touto zákaznickou základnou drží cca 29% tržní podíl. Nabyvatelem je francouzská společnost Iliad S.A., která</w:t>
      </w:r>
      <w:r w:rsidRPr="7504F584">
        <w:rPr>
          <w:rFonts w:cs="Calibri"/>
          <w:color w:val="323130"/>
        </w:rPr>
        <w:t xml:space="preserve"> 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>za 100% podíl zaplatila 3 687 mil. EUR, tj. 98 520 mil. Kč. Tato transakce má na celkovém známém objemu transakcí z 3Q 2020 cca 53% podíl.</w:t>
      </w:r>
    </w:p>
    <w:p w14:paraId="6AE71F30" w14:textId="474C1807" w:rsidR="009D7C46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5E7A4EA" wp14:editId="2A1B4B34">
            <wp:simplePos x="0" y="0"/>
            <wp:positionH relativeFrom="column">
              <wp:posOffset>90170</wp:posOffset>
            </wp:positionH>
            <wp:positionV relativeFrom="paragraph">
              <wp:posOffset>64135</wp:posOffset>
            </wp:positionV>
            <wp:extent cx="3895725" cy="2915920"/>
            <wp:effectExtent l="0" t="0" r="9525" b="0"/>
            <wp:wrapTight wrapText="bothSides">
              <wp:wrapPolygon edited="0">
                <wp:start x="0" y="0"/>
                <wp:lineTo x="0" y="21449"/>
                <wp:lineTo x="21547" y="21449"/>
                <wp:lineTo x="2154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50697" w14:textId="1AA80B0C" w:rsidR="009D7C46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</w:p>
    <w:p w14:paraId="009EBE61" w14:textId="128DA30A" w:rsidR="009D7C46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</w:p>
    <w:p w14:paraId="6EB3459A" w14:textId="57393251" w:rsidR="009D7C46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</w:p>
    <w:p w14:paraId="0EBBB874" w14:textId="5EBB0217" w:rsidR="009D7C46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</w:p>
    <w:p w14:paraId="5D0C90D4" w14:textId="3B8F6A5C" w:rsidR="009D7C46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</w:p>
    <w:p w14:paraId="5EDBDB0A" w14:textId="399D2876" w:rsidR="009D7C46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</w:p>
    <w:p w14:paraId="43AD9B0A" w14:textId="62F9EFC0" w:rsidR="009D7C46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</w:p>
    <w:p w14:paraId="0B8C4F9E" w14:textId="77777777" w:rsidR="009D7C46" w:rsidRDefault="009D7C4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</w:p>
    <w:p w14:paraId="1A6D6979" w14:textId="7285A15D" w:rsidR="00784698" w:rsidRDefault="0E072256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b/>
          <w:bCs/>
          <w:color w:val="323130"/>
          <w:sz w:val="20"/>
          <w:szCs w:val="20"/>
        </w:rPr>
      </w:pPr>
      <w:r w:rsidRPr="7504F584">
        <w:rPr>
          <w:rFonts w:ascii="Arial" w:eastAsia="Arial" w:hAnsi="Arial" w:cs="Arial"/>
          <w:b/>
          <w:bCs/>
          <w:color w:val="323130"/>
          <w:sz w:val="20"/>
          <w:szCs w:val="20"/>
        </w:rPr>
        <w:lastRenderedPageBreak/>
        <w:t>Aktuální situace na poli M&amp;A</w:t>
      </w:r>
    </w:p>
    <w:p w14:paraId="75A56A04" w14:textId="2E1AFEBA" w:rsidR="00784698" w:rsidRDefault="05E6992F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  <w:r w:rsidRPr="7504F584">
        <w:rPr>
          <w:rFonts w:ascii="Arial" w:eastAsia="Arial" w:hAnsi="Arial" w:cs="Arial"/>
          <w:color w:val="323130"/>
          <w:sz w:val="20"/>
          <w:szCs w:val="20"/>
        </w:rPr>
        <w:t>„</w:t>
      </w:r>
      <w:r w:rsidRPr="7504F584">
        <w:rPr>
          <w:rFonts w:ascii="Arial" w:eastAsia="Arial" w:hAnsi="Arial" w:cs="Arial"/>
          <w:i/>
          <w:iCs/>
          <w:color w:val="323130"/>
          <w:sz w:val="20"/>
          <w:szCs w:val="20"/>
        </w:rPr>
        <w:t xml:space="preserve">Region CEE, stejně jako ostatní vyspělé regiony po celém světě je v současnosti ovlivněn vývojem finančních trhů, restrikcemi a opatřeními jednotlivých států v návaznosti na rozšíření pandemie </w:t>
      </w:r>
      <w:proofErr w:type="spellStart"/>
      <w:r w:rsidRPr="7504F584">
        <w:rPr>
          <w:rFonts w:ascii="Arial" w:eastAsia="Arial" w:hAnsi="Arial" w:cs="Arial"/>
          <w:i/>
          <w:iCs/>
          <w:color w:val="323130"/>
          <w:sz w:val="20"/>
          <w:szCs w:val="20"/>
        </w:rPr>
        <w:t>koronaviru</w:t>
      </w:r>
      <w:proofErr w:type="spellEnd"/>
      <w:r w:rsidRPr="7504F584">
        <w:rPr>
          <w:rFonts w:ascii="Arial" w:eastAsia="Arial" w:hAnsi="Arial" w:cs="Arial"/>
          <w:i/>
          <w:iCs/>
          <w:color w:val="323130"/>
          <w:sz w:val="20"/>
          <w:szCs w:val="20"/>
        </w:rPr>
        <w:t>. Aktivita na trhu M&amp;A v regionu CEE se v zasažených kvartálech (2. a 3.) projevila zejména snížením počtu uskutečněných transakcí ve srovnání s odpovídajícími kvartály předchozích let. Do budoucna lze očekávat zvýšenou aktivitu kupujících s dobrou likviditou, kteří budou mít zájem o vstup do společností, které jsou zajímavé s ohledem na jejich produkt a dostanou se do ekonomických problémů. U těchto společností vznikne potřeba posílení kapitálu za účelem překonání současného složitého období</w:t>
      </w:r>
      <w:r w:rsidRPr="7504F584">
        <w:rPr>
          <w:rFonts w:ascii="Arial" w:eastAsia="Arial" w:hAnsi="Arial" w:cs="Arial"/>
          <w:color w:val="323130"/>
          <w:sz w:val="20"/>
          <w:szCs w:val="20"/>
        </w:rPr>
        <w:t xml:space="preserve">,“ vyjádřil se </w:t>
      </w:r>
      <w:r w:rsidR="25EAD606" w:rsidRPr="7504F584">
        <w:rPr>
          <w:rFonts w:ascii="Arial" w:eastAsia="Arial" w:hAnsi="Arial" w:cs="Arial"/>
          <w:color w:val="323130"/>
          <w:sz w:val="20"/>
          <w:szCs w:val="20"/>
        </w:rPr>
        <w:t xml:space="preserve">k aktuální situaci na trhu M&amp;A a výhledu do budoucna Jiří Hlaváč, partner, TPA </w:t>
      </w:r>
      <w:proofErr w:type="spellStart"/>
      <w:r w:rsidR="25EAD606" w:rsidRPr="7504F584">
        <w:rPr>
          <w:rFonts w:ascii="Arial" w:eastAsia="Arial" w:hAnsi="Arial" w:cs="Arial"/>
          <w:color w:val="323130"/>
          <w:sz w:val="20"/>
          <w:szCs w:val="20"/>
        </w:rPr>
        <w:t>Valuation</w:t>
      </w:r>
      <w:proofErr w:type="spellEnd"/>
      <w:r w:rsidR="25EAD606" w:rsidRPr="7504F584">
        <w:rPr>
          <w:rFonts w:ascii="Arial" w:eastAsia="Arial" w:hAnsi="Arial" w:cs="Arial"/>
          <w:color w:val="323130"/>
          <w:sz w:val="20"/>
          <w:szCs w:val="20"/>
        </w:rPr>
        <w:t xml:space="preserve"> &amp; </w:t>
      </w:r>
      <w:proofErr w:type="spellStart"/>
      <w:r w:rsidR="25EAD606" w:rsidRPr="7504F584">
        <w:rPr>
          <w:rFonts w:ascii="Arial" w:eastAsia="Arial" w:hAnsi="Arial" w:cs="Arial"/>
          <w:color w:val="323130"/>
          <w:sz w:val="20"/>
          <w:szCs w:val="20"/>
        </w:rPr>
        <w:t>Advisory</w:t>
      </w:r>
      <w:proofErr w:type="spellEnd"/>
      <w:r w:rsidR="25EAD606" w:rsidRPr="7504F584">
        <w:rPr>
          <w:rFonts w:ascii="Arial" w:eastAsia="Arial" w:hAnsi="Arial" w:cs="Arial"/>
          <w:color w:val="323130"/>
          <w:sz w:val="20"/>
          <w:szCs w:val="20"/>
        </w:rPr>
        <w:t>.</w:t>
      </w:r>
    </w:p>
    <w:p w14:paraId="6F7B8979" w14:textId="38C2C45A" w:rsidR="00784698" w:rsidRDefault="00784698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</w:p>
    <w:p w14:paraId="1B5FF624" w14:textId="51833519" w:rsidR="00784698" w:rsidRDefault="00784698" w:rsidP="7504F584">
      <w:pPr>
        <w:tabs>
          <w:tab w:val="right" w:pos="9070"/>
        </w:tabs>
        <w:spacing w:beforeAutospacing="1" w:afterAutospacing="1" w:line="240" w:lineRule="auto"/>
        <w:jc w:val="both"/>
        <w:rPr>
          <w:rFonts w:ascii="Arial" w:eastAsia="Arial" w:hAnsi="Arial" w:cs="Arial"/>
          <w:color w:val="323130"/>
          <w:sz w:val="20"/>
          <w:szCs w:val="20"/>
        </w:rPr>
      </w:pPr>
    </w:p>
    <w:p w14:paraId="672A6659" w14:textId="6B82BC9E" w:rsidR="00784698" w:rsidRDefault="00784698" w:rsidP="7504F584">
      <w:pPr>
        <w:pStyle w:val="F2-zkladn"/>
        <w:tabs>
          <w:tab w:val="right" w:pos="9070"/>
        </w:tabs>
        <w:spacing w:before="0" w:line="240" w:lineRule="auto"/>
        <w:rPr>
          <w:b/>
          <w:bCs/>
        </w:rPr>
      </w:pPr>
    </w:p>
    <w:p w14:paraId="0A37501D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DAB6C7B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6793AEB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7AEDE952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14:paraId="7735FC45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41F18834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5F4B273C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786C9EB2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54FFD8EF" w14:textId="77777777" w:rsidR="00EB1C5A" w:rsidRPr="00AF63E5" w:rsidRDefault="004F7099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659E78E7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237F3693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02EB378F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7BF2707D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0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1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6A05A809" w14:textId="77777777" w:rsidR="001272D9" w:rsidRDefault="001272D9"/>
    <w:sectPr w:rsidR="001272D9" w:rsidSect="009D7C46">
      <w:headerReference w:type="default" r:id="rId12"/>
      <w:pgSz w:w="11906" w:h="16838"/>
      <w:pgMar w:top="1417" w:right="1417" w:bottom="426" w:left="1417" w:header="164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52FE3" w14:textId="77777777" w:rsidR="004F7099" w:rsidRDefault="004F7099" w:rsidP="00087B0F">
      <w:pPr>
        <w:spacing w:after="0" w:line="240" w:lineRule="auto"/>
      </w:pPr>
      <w:r>
        <w:separator/>
      </w:r>
    </w:p>
  </w:endnote>
  <w:endnote w:type="continuationSeparator" w:id="0">
    <w:p w14:paraId="28B524BC" w14:textId="77777777" w:rsidR="004F7099" w:rsidRDefault="004F7099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3E661" w14:textId="77777777" w:rsidR="004F7099" w:rsidRDefault="004F7099" w:rsidP="00087B0F">
      <w:pPr>
        <w:spacing w:after="0" w:line="240" w:lineRule="auto"/>
      </w:pPr>
      <w:r>
        <w:separator/>
      </w:r>
    </w:p>
  </w:footnote>
  <w:footnote w:type="continuationSeparator" w:id="0">
    <w:p w14:paraId="5343A169" w14:textId="77777777" w:rsidR="004F7099" w:rsidRDefault="004F7099" w:rsidP="00087B0F">
      <w:pPr>
        <w:spacing w:after="0" w:line="240" w:lineRule="auto"/>
      </w:pPr>
      <w:r>
        <w:continuationSeparator/>
      </w:r>
    </w:p>
  </w:footnote>
  <w:footnote w:id="1">
    <w:p w14:paraId="747002DF" w14:textId="3AF483D6" w:rsidR="000701A8" w:rsidRDefault="000701A8">
      <w:pPr>
        <w:pStyle w:val="Textpoznpodarou"/>
      </w:pPr>
      <w:r>
        <w:rPr>
          <w:rStyle w:val="Znakapoznpodarou"/>
        </w:rPr>
        <w:footnoteRef/>
      </w:r>
      <w:r>
        <w:t xml:space="preserve"> Albánie, Bulharsko, Černá Hora, Česká republika, Chorvatsko, Maďarsko, Polsko, Rakousko, Rumunsko, Slovensko, Slovinsko a Srbsko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E71FC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39EF90F" wp14:editId="07777777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433BA"/>
    <w:rsid w:val="000474F2"/>
    <w:rsid w:val="0005087E"/>
    <w:rsid w:val="000701A8"/>
    <w:rsid w:val="00087B0F"/>
    <w:rsid w:val="000A2944"/>
    <w:rsid w:val="000B1F52"/>
    <w:rsid w:val="000F648D"/>
    <w:rsid w:val="001272D9"/>
    <w:rsid w:val="001514D6"/>
    <w:rsid w:val="001833EC"/>
    <w:rsid w:val="001F387C"/>
    <w:rsid w:val="0027105E"/>
    <w:rsid w:val="002948D0"/>
    <w:rsid w:val="002A7D37"/>
    <w:rsid w:val="003143B9"/>
    <w:rsid w:val="00316D20"/>
    <w:rsid w:val="00381597"/>
    <w:rsid w:val="00385385"/>
    <w:rsid w:val="003916F2"/>
    <w:rsid w:val="003B5AE8"/>
    <w:rsid w:val="004010C0"/>
    <w:rsid w:val="004321DB"/>
    <w:rsid w:val="00433B9A"/>
    <w:rsid w:val="004432AB"/>
    <w:rsid w:val="00474216"/>
    <w:rsid w:val="00483CC4"/>
    <w:rsid w:val="00494A82"/>
    <w:rsid w:val="004F7099"/>
    <w:rsid w:val="0051646C"/>
    <w:rsid w:val="0053615C"/>
    <w:rsid w:val="00590F8E"/>
    <w:rsid w:val="005A2DC0"/>
    <w:rsid w:val="006200E1"/>
    <w:rsid w:val="00643BFA"/>
    <w:rsid w:val="00667056"/>
    <w:rsid w:val="00676584"/>
    <w:rsid w:val="00677F43"/>
    <w:rsid w:val="006A65B5"/>
    <w:rsid w:val="006D4B45"/>
    <w:rsid w:val="00704800"/>
    <w:rsid w:val="00735B2F"/>
    <w:rsid w:val="00784698"/>
    <w:rsid w:val="00792360"/>
    <w:rsid w:val="007B5B26"/>
    <w:rsid w:val="007C65E0"/>
    <w:rsid w:val="007D4CFC"/>
    <w:rsid w:val="007E1A19"/>
    <w:rsid w:val="008E0CBB"/>
    <w:rsid w:val="00911D3B"/>
    <w:rsid w:val="00945165"/>
    <w:rsid w:val="0099767A"/>
    <w:rsid w:val="009D7C46"/>
    <w:rsid w:val="00A71FE0"/>
    <w:rsid w:val="00AD6570"/>
    <w:rsid w:val="00AF63E5"/>
    <w:rsid w:val="00B847D6"/>
    <w:rsid w:val="00BB2F4F"/>
    <w:rsid w:val="00BC4A3D"/>
    <w:rsid w:val="00C43F8F"/>
    <w:rsid w:val="00CF6E62"/>
    <w:rsid w:val="00D01576"/>
    <w:rsid w:val="00D04011"/>
    <w:rsid w:val="00D26944"/>
    <w:rsid w:val="00D4284D"/>
    <w:rsid w:val="00D67270"/>
    <w:rsid w:val="00D72C84"/>
    <w:rsid w:val="00DA18DA"/>
    <w:rsid w:val="00DB6D1B"/>
    <w:rsid w:val="00DF7E3A"/>
    <w:rsid w:val="00EA436F"/>
    <w:rsid w:val="00EB1C5A"/>
    <w:rsid w:val="00F32BD2"/>
    <w:rsid w:val="00FE255D"/>
    <w:rsid w:val="0332C69B"/>
    <w:rsid w:val="05E6992F"/>
    <w:rsid w:val="05F5B3E5"/>
    <w:rsid w:val="08C6B2AD"/>
    <w:rsid w:val="0DD5066F"/>
    <w:rsid w:val="0E072256"/>
    <w:rsid w:val="0ECBFC8A"/>
    <w:rsid w:val="15D87DB9"/>
    <w:rsid w:val="1B01A2E9"/>
    <w:rsid w:val="204A56D5"/>
    <w:rsid w:val="25EAD606"/>
    <w:rsid w:val="2730D473"/>
    <w:rsid w:val="2A051F2C"/>
    <w:rsid w:val="315D2BDD"/>
    <w:rsid w:val="31C963C9"/>
    <w:rsid w:val="4018D2B1"/>
    <w:rsid w:val="440C441D"/>
    <w:rsid w:val="44C0C3BE"/>
    <w:rsid w:val="45C26789"/>
    <w:rsid w:val="471983F5"/>
    <w:rsid w:val="47F51DC8"/>
    <w:rsid w:val="488B7F65"/>
    <w:rsid w:val="4B43A891"/>
    <w:rsid w:val="4EAE024E"/>
    <w:rsid w:val="51C4EF35"/>
    <w:rsid w:val="53F75F5C"/>
    <w:rsid w:val="53FFD5BA"/>
    <w:rsid w:val="57AB60ED"/>
    <w:rsid w:val="5BA9D703"/>
    <w:rsid w:val="5C9F2D8D"/>
    <w:rsid w:val="5F80650A"/>
    <w:rsid w:val="60171DA5"/>
    <w:rsid w:val="60C13104"/>
    <w:rsid w:val="648FA45D"/>
    <w:rsid w:val="65A2AB1C"/>
    <w:rsid w:val="69C9B58F"/>
    <w:rsid w:val="7216F468"/>
    <w:rsid w:val="7504F584"/>
    <w:rsid w:val="7683085E"/>
    <w:rsid w:val="76A081DA"/>
    <w:rsid w:val="79429AC7"/>
    <w:rsid w:val="79E847D0"/>
    <w:rsid w:val="79FE4CD9"/>
    <w:rsid w:val="7E87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8907B82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01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01A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70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kertilly.d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kertillyinternational.com/web/hom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09FC-960B-4536-82BA-590FB5AB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4</cp:revision>
  <cp:lastPrinted>2020-10-21T08:00:00Z</cp:lastPrinted>
  <dcterms:created xsi:type="dcterms:W3CDTF">2020-10-20T15:05:00Z</dcterms:created>
  <dcterms:modified xsi:type="dcterms:W3CDTF">2020-10-21T08:18:00Z</dcterms:modified>
</cp:coreProperties>
</file>